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1F" w:rsidRPr="000650B8" w:rsidRDefault="006D651F" w:rsidP="006D651F">
      <w:pPr>
        <w:pStyle w:val="Naslov2"/>
      </w:pPr>
      <w:bookmarkStart w:id="0" w:name="_Toc298390159"/>
      <w:bookmarkStart w:id="1" w:name="_Toc480231693"/>
      <w:bookmarkStart w:id="2" w:name="_Toc501327567"/>
      <w:proofErr w:type="spellStart"/>
      <w:r w:rsidRPr="000650B8">
        <w:t>V.2</w:t>
      </w:r>
      <w:proofErr w:type="spellEnd"/>
      <w:r w:rsidRPr="000650B8">
        <w:t>.</w:t>
      </w:r>
      <w:r w:rsidRPr="000650B8">
        <w:tab/>
        <w:t>Plan društvenog razvoja</w:t>
      </w:r>
      <w:bookmarkEnd w:id="0"/>
      <w:bookmarkEnd w:id="1"/>
      <w:bookmarkEnd w:id="2"/>
    </w:p>
    <w:p w:rsidR="006D651F" w:rsidRDefault="006D651F" w:rsidP="006D651F"/>
    <w:p w:rsidR="006D651F" w:rsidRDefault="006D651F" w:rsidP="006D651F">
      <w:pPr>
        <w:spacing w:line="276" w:lineRule="auto"/>
        <w:jc w:val="both"/>
      </w:pPr>
      <w:r>
        <w:t>Izrada</w:t>
      </w:r>
      <w:r w:rsidRPr="00320C36">
        <w:t xml:space="preserve"> Sektorskog plana društvenog razvoja općine </w:t>
      </w:r>
      <w:r>
        <w:t>Žepče</w:t>
      </w:r>
      <w:r w:rsidRPr="00320C36">
        <w:t xml:space="preserve"> urađena je na temelju </w:t>
      </w:r>
      <w:proofErr w:type="spellStart"/>
      <w:r w:rsidRPr="00320C36">
        <w:t>socio</w:t>
      </w:r>
      <w:proofErr w:type="spellEnd"/>
      <w:r w:rsidRPr="00320C36">
        <w:t xml:space="preserve">-ekonomske analize, vizije razvoja i strateških ciljeva, kao i </w:t>
      </w:r>
      <w:r>
        <w:t>analize</w:t>
      </w:r>
      <w:r w:rsidRPr="00320C36">
        <w:t xml:space="preserve"> snaga, slabosti, prilika i prijetnji u sektoru društvenog razvoja. </w:t>
      </w:r>
      <w:r>
        <w:t>Fokusi društvenog razvoja općine Žepče za naredni period su:</w:t>
      </w:r>
    </w:p>
    <w:p w:rsidR="006D651F" w:rsidRDefault="006D651F" w:rsidP="006D651F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</w:pPr>
      <w:r>
        <w:t>Jačanje</w:t>
      </w:r>
      <w:r w:rsidRPr="00320C36">
        <w:t xml:space="preserve"> kapacitete</w:t>
      </w:r>
      <w:r>
        <w:t xml:space="preserve"> organizacija civilnog društva</w:t>
      </w:r>
      <w:r w:rsidRPr="009461FB">
        <w:t xml:space="preserve"> za privlačenje donatorskih </w:t>
      </w:r>
      <w:proofErr w:type="spellStart"/>
      <w:r w:rsidRPr="009461FB">
        <w:t>sredstavai</w:t>
      </w:r>
      <w:proofErr w:type="spellEnd"/>
      <w:r w:rsidRPr="009461FB">
        <w:t xml:space="preserve"> na taj način stvoriti preduslove za</w:t>
      </w:r>
      <w:r w:rsidRPr="00320C36">
        <w:t xml:space="preserve"> poboljša</w:t>
      </w:r>
      <w:r w:rsidRPr="009461FB">
        <w:t xml:space="preserve">nje </w:t>
      </w:r>
      <w:r>
        <w:t>sportsko-</w:t>
      </w:r>
      <w:proofErr w:type="spellStart"/>
      <w:r>
        <w:t>kulturnihsadržaja</w:t>
      </w:r>
      <w:proofErr w:type="spellEnd"/>
      <w:r w:rsidRPr="00320C36">
        <w:t xml:space="preserve">. </w:t>
      </w: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</w:pPr>
      <w:r>
        <w:t>Poboljšanje</w:t>
      </w:r>
      <w:r w:rsidRPr="00320C36">
        <w:t xml:space="preserve"> sportsku i kulturnu infrastrukturu, vodeći se principima obnove i izgradnje „na bolje“ kako ne bi pojačali rizik </w:t>
      </w:r>
      <w:r w:rsidRPr="009461FB">
        <w:t>od prirodnih i drugih opasnosti</w:t>
      </w:r>
      <w:r>
        <w:t>.</w:t>
      </w:r>
    </w:p>
    <w:p w:rsidR="006D651F" w:rsidRPr="00676A3D" w:rsidRDefault="006D651F" w:rsidP="006D651F">
      <w:pPr>
        <w:numPr>
          <w:ilvl w:val="0"/>
          <w:numId w:val="2"/>
        </w:numPr>
        <w:spacing w:before="120" w:after="120" w:line="276" w:lineRule="auto"/>
        <w:jc w:val="both"/>
      </w:pPr>
      <w:r>
        <w:t>Unapređenje efikasnosti lokalne uprave u cilju kvalitetnijeg i efikasnijeg</w:t>
      </w:r>
      <w:r>
        <w:rPr>
          <w:lang w:val="bs-Latn-BA"/>
        </w:rPr>
        <w:t xml:space="preserve">pružanja usluga građanima </w:t>
      </w: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</w:pPr>
      <w:proofErr w:type="spellStart"/>
      <w:r>
        <w:t>Unaprijeđenje</w:t>
      </w:r>
      <w:proofErr w:type="spellEnd"/>
      <w:r>
        <w:t xml:space="preserve"> kvaliteta života lokalnog stanovništva kroz poboljšanje usluga iz oblasti zdravstva i socijalne zaštite</w:t>
      </w:r>
      <w:r w:rsidRPr="009461FB">
        <w:t>.</w:t>
      </w: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</w:pPr>
      <w:r>
        <w:t>Poboljšanje</w:t>
      </w:r>
      <w:r w:rsidRPr="009461FB">
        <w:t xml:space="preserve"> uslov</w:t>
      </w:r>
      <w:r>
        <w:t>a</w:t>
      </w:r>
      <w:r w:rsidRPr="009461FB">
        <w:t xml:space="preserve"> školovanja učenika osnovnih</w:t>
      </w:r>
      <w:r>
        <w:t xml:space="preserve"> i srednjih</w:t>
      </w:r>
      <w:r w:rsidRPr="009461FB">
        <w:t xml:space="preserve"> </w:t>
      </w:r>
      <w:proofErr w:type="spellStart"/>
      <w:r w:rsidRPr="009461FB">
        <w:t>rezreda</w:t>
      </w:r>
      <w:proofErr w:type="spellEnd"/>
      <w:r>
        <w:t xml:space="preserve">. </w:t>
      </w: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</w:pPr>
      <w:proofErr w:type="spellStart"/>
      <w:r>
        <w:t>Unaprijeđenje</w:t>
      </w:r>
      <w:proofErr w:type="spellEnd"/>
      <w:r>
        <w:t xml:space="preserve"> nastavnog programa za srednjoškolce koji će odgovoriti potrebama tržišta rada.</w:t>
      </w:r>
    </w:p>
    <w:p w:rsidR="006D651F" w:rsidRPr="00610730" w:rsidRDefault="006D651F" w:rsidP="006D651F">
      <w:pPr>
        <w:numPr>
          <w:ilvl w:val="0"/>
          <w:numId w:val="2"/>
        </w:numPr>
        <w:spacing w:before="120" w:line="276" w:lineRule="auto"/>
        <w:jc w:val="both"/>
        <w:rPr>
          <w:rFonts w:ascii="Myriad Pro" w:hAnsi="Myriad Pro"/>
          <w:lang w:val="bs-Latn-BA"/>
        </w:rPr>
      </w:pPr>
      <w:r>
        <w:t>Jačanje</w:t>
      </w:r>
      <w:r w:rsidRPr="00E173B8">
        <w:t xml:space="preserve"> kapacitet</w:t>
      </w:r>
      <w:r>
        <w:t>a</w:t>
      </w:r>
      <w:r w:rsidRPr="00E173B8">
        <w:t xml:space="preserve"> lokalne zajednice za smanjenje rizika od katastrofa, prvenstveno u segmentu </w:t>
      </w:r>
      <w:r>
        <w:t xml:space="preserve">mapiranja klizišta i </w:t>
      </w:r>
      <w:proofErr w:type="spellStart"/>
      <w:r>
        <w:t>deminiranja</w:t>
      </w:r>
      <w:proofErr w:type="spellEnd"/>
      <w:r>
        <w:t xml:space="preserve"> poljoprivrednog/šumskog zemljišta </w:t>
      </w:r>
    </w:p>
    <w:p w:rsidR="006D651F" w:rsidRDefault="006D651F" w:rsidP="006D651F">
      <w:pPr>
        <w:numPr>
          <w:ilvl w:val="0"/>
          <w:numId w:val="2"/>
        </w:numPr>
        <w:spacing w:before="120" w:line="276" w:lineRule="auto"/>
        <w:jc w:val="both"/>
        <w:rPr>
          <w:rFonts w:ascii="Myriad Pro" w:hAnsi="Myriad Pro"/>
          <w:lang w:val="bs-Latn-BA"/>
        </w:rPr>
      </w:pPr>
      <w:r>
        <w:t>J</w:t>
      </w:r>
      <w:r w:rsidRPr="00E173B8">
        <w:t>ača</w:t>
      </w:r>
      <w:r>
        <w:t>nje</w:t>
      </w:r>
      <w:r w:rsidRPr="00E173B8">
        <w:t xml:space="preserve"> </w:t>
      </w:r>
      <w:proofErr w:type="spellStart"/>
      <w:r w:rsidRPr="00E173B8">
        <w:t>kapacitet</w:t>
      </w:r>
      <w:r>
        <w:t>acivilne</w:t>
      </w:r>
      <w:proofErr w:type="spellEnd"/>
      <w:r>
        <w:t xml:space="preserve"> zaštite</w:t>
      </w:r>
      <w:r w:rsidRPr="00E173B8">
        <w:t xml:space="preserve"> za prevenciju </w:t>
      </w:r>
      <w:r>
        <w:t>i</w:t>
      </w:r>
      <w:r w:rsidRPr="00E173B8">
        <w:t xml:space="preserve"> pravovremeni odgovor na katastrofe i nesreće uzrokovane prirodnim i drugim opasnostima.</w:t>
      </w:r>
    </w:p>
    <w:p w:rsidR="006D651F" w:rsidRPr="00610730" w:rsidRDefault="006D651F" w:rsidP="006D651F">
      <w:pPr>
        <w:spacing w:before="120" w:line="276" w:lineRule="auto"/>
        <w:jc w:val="both"/>
        <w:rPr>
          <w:rFonts w:ascii="Myriad Pro" w:hAnsi="Myriad Pro"/>
          <w:lang w:val="bs-Latn-BA"/>
        </w:rPr>
      </w:pPr>
    </w:p>
    <w:p w:rsidR="006D651F" w:rsidRDefault="006D651F" w:rsidP="006D651F">
      <w:pPr>
        <w:pStyle w:val="Naslov3"/>
      </w:pPr>
      <w:bookmarkStart w:id="3" w:name="_Toc480231694"/>
      <w:bookmarkStart w:id="4" w:name="_Toc501327568"/>
      <w:proofErr w:type="spellStart"/>
      <w:r>
        <w:t>V.2.1</w:t>
      </w:r>
      <w:proofErr w:type="spellEnd"/>
      <w:r w:rsidRPr="000650B8">
        <w:t>.</w:t>
      </w:r>
      <w:r w:rsidRPr="000650B8">
        <w:tab/>
      </w:r>
      <w:r>
        <w:t xml:space="preserve">Pregled sektorskih ciljeva sa </w:t>
      </w:r>
      <w:r w:rsidRPr="000650B8">
        <w:t>očekiva</w:t>
      </w:r>
      <w:r>
        <w:t>nim</w:t>
      </w:r>
      <w:r w:rsidRPr="000650B8">
        <w:t xml:space="preserve"> ishod</w:t>
      </w:r>
      <w:r>
        <w:t>ima i</w:t>
      </w:r>
      <w:r w:rsidRPr="000650B8">
        <w:t xml:space="preserve"> indikatorima</w:t>
      </w:r>
      <w:bookmarkEnd w:id="3"/>
      <w:bookmarkEnd w:id="4"/>
    </w:p>
    <w:p w:rsidR="006D651F" w:rsidRDefault="006D651F" w:rsidP="006D651F">
      <w:pPr>
        <w:rPr>
          <w:lang w:val="hr-HR"/>
        </w:rPr>
      </w:pPr>
    </w:p>
    <w:p w:rsidR="006D651F" w:rsidRPr="00F11BC5" w:rsidRDefault="006D651F" w:rsidP="006D651F">
      <w:pPr>
        <w:pStyle w:val="Tabela"/>
      </w:pPr>
      <w:bookmarkStart w:id="5" w:name="_Toc501236890"/>
      <w:r>
        <w:t>Tabela 22.  Pregled sektorskih ciljeva.</w:t>
      </w:r>
      <w:bookmarkEnd w:id="5"/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4"/>
        <w:gridCol w:w="3154"/>
        <w:gridCol w:w="3020"/>
      </w:tblGrid>
      <w:tr w:rsidR="006D651F" w:rsidRPr="00BF7E3E" w:rsidTr="0079240C">
        <w:tc>
          <w:tcPr>
            <w:tcW w:w="3151" w:type="dxa"/>
            <w:shd w:val="clear" w:color="auto" w:fill="0F243E"/>
          </w:tcPr>
          <w:p w:rsidR="006D651F" w:rsidRPr="00BF7E3E" w:rsidRDefault="006D651F" w:rsidP="0079240C">
            <w:pPr>
              <w:rPr>
                <w:b/>
                <w:lang w:val="bs-Latn-BA"/>
              </w:rPr>
            </w:pPr>
            <w:r w:rsidRPr="00BF7E3E">
              <w:rPr>
                <w:b/>
                <w:lang w:val="bs-Latn-BA"/>
              </w:rPr>
              <w:t>Sektorski cilj</w:t>
            </w:r>
          </w:p>
        </w:tc>
        <w:tc>
          <w:tcPr>
            <w:tcW w:w="3168" w:type="dxa"/>
            <w:shd w:val="clear" w:color="auto" w:fill="0F243E"/>
          </w:tcPr>
          <w:p w:rsidR="006D651F" w:rsidRPr="00BF7E3E" w:rsidRDefault="006D651F" w:rsidP="0079240C">
            <w:pPr>
              <w:rPr>
                <w:b/>
                <w:lang w:val="bs-Latn-BA"/>
              </w:rPr>
            </w:pPr>
            <w:r w:rsidRPr="00BF7E3E">
              <w:rPr>
                <w:b/>
                <w:lang w:val="bs-Latn-BA"/>
              </w:rPr>
              <w:t>Očekivani ishod</w:t>
            </w:r>
          </w:p>
        </w:tc>
        <w:tc>
          <w:tcPr>
            <w:tcW w:w="3031" w:type="dxa"/>
            <w:shd w:val="clear" w:color="auto" w:fill="0F243E"/>
          </w:tcPr>
          <w:p w:rsidR="006D651F" w:rsidRPr="00BF7E3E" w:rsidRDefault="006D651F" w:rsidP="0079240C">
            <w:pPr>
              <w:rPr>
                <w:b/>
                <w:lang w:val="bs-Latn-BA"/>
              </w:rPr>
            </w:pPr>
            <w:r w:rsidRPr="00BF7E3E">
              <w:rPr>
                <w:b/>
                <w:lang w:val="bs-Latn-BA"/>
              </w:rPr>
              <w:t>Indikator</w:t>
            </w:r>
          </w:p>
        </w:tc>
      </w:tr>
      <w:tr w:rsidR="006D651F" w:rsidRPr="00BF7E3E" w:rsidTr="0079240C">
        <w:tc>
          <w:tcPr>
            <w:tcW w:w="3151" w:type="dxa"/>
          </w:tcPr>
          <w:p w:rsidR="006D651F" w:rsidRPr="00BF7E3E" w:rsidRDefault="006D651F" w:rsidP="0079240C">
            <w:pPr>
              <w:spacing w:before="60"/>
              <w:jc w:val="both"/>
              <w:rPr>
                <w:bCs/>
                <w:lang w:val="it-IT"/>
              </w:rPr>
            </w:pPr>
            <w:r w:rsidRPr="00BF7E3E">
              <w:rPr>
                <w:bCs/>
              </w:rPr>
              <w:t xml:space="preserve">2.1. </w:t>
            </w:r>
            <w:proofErr w:type="spellStart"/>
            <w:r w:rsidRPr="00EC33AA">
              <w:rPr>
                <w:bCs/>
              </w:rPr>
              <w:t>Unaprijeđena</w:t>
            </w:r>
            <w:proofErr w:type="spellEnd"/>
            <w:r w:rsidRPr="00EC33AA">
              <w:rPr>
                <w:bCs/>
              </w:rPr>
              <w:t xml:space="preserve"> zdravstvena i socijalna sigurnost građana do </w:t>
            </w:r>
            <w:proofErr w:type="spellStart"/>
            <w:r w:rsidRPr="00EC33AA">
              <w:rPr>
                <w:bCs/>
              </w:rPr>
              <w:t>2022.g</w:t>
            </w:r>
            <w:proofErr w:type="spellEnd"/>
            <w:r w:rsidRPr="00EC33AA">
              <w:rPr>
                <w:bCs/>
              </w:rPr>
              <w:t>.</w:t>
            </w:r>
          </w:p>
        </w:tc>
        <w:tc>
          <w:tcPr>
            <w:tcW w:w="3168" w:type="dxa"/>
          </w:tcPr>
          <w:p w:rsidR="006D651F" w:rsidRPr="00BF7E3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BF7E3E">
              <w:rPr>
                <w:lang w:val="bs-Latn-BA"/>
              </w:rPr>
              <w:t xml:space="preserve">Ishod 1: </w:t>
            </w:r>
            <w:r w:rsidRPr="00EC33AA">
              <w:rPr>
                <w:lang w:val="bs-Latn-BA"/>
              </w:rPr>
              <w:t>Do 2022.g. povećano zadovoljstvo građana uslugama socijalne zaštite za najmanje 10 procentnih poena u odnosu na 2016. g.</w:t>
            </w:r>
            <w:r w:rsidRPr="00BF7E3E">
              <w:rPr>
                <w:lang w:val="bs-Latn-BA"/>
              </w:rPr>
              <w:t xml:space="preserve">;  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BF7E3E">
              <w:rPr>
                <w:lang w:val="bs-Latn-BA"/>
              </w:rPr>
              <w:t xml:space="preserve">Ishod 2: </w:t>
            </w:r>
            <w:r w:rsidRPr="00EC33AA">
              <w:rPr>
                <w:lang w:val="bs-Latn-BA"/>
              </w:rPr>
              <w:t>Do 2022.g. povećano zadovoljstvo građana uslugama zdravstvene zaštite u lokalnim ambulantama za najmanje 15 procentnih poena u odnosu na 2016. g.</w:t>
            </w:r>
            <w:r w:rsidRPr="00BF7E3E">
              <w:rPr>
                <w:lang w:val="bs-Latn-BA"/>
              </w:rPr>
              <w:t>;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BE29EE">
              <w:rPr>
                <w:lang w:val="bs-Latn-BA"/>
              </w:rPr>
              <w:t xml:space="preserve">Ishod 3: Do 2020.g. najmanje 200 žena je imalo direktnu korist od implementacije  projekata jačanja </w:t>
            </w:r>
            <w:r w:rsidRPr="00BE29EE">
              <w:rPr>
                <w:lang w:val="bs-Latn-BA"/>
              </w:rPr>
              <w:lastRenderedPageBreak/>
              <w:t>ekonomskog položaja i  društvene uloge žena.</w:t>
            </w:r>
          </w:p>
        </w:tc>
        <w:tc>
          <w:tcPr>
            <w:tcW w:w="3031" w:type="dxa"/>
          </w:tcPr>
          <w:p w:rsidR="006D651F" w:rsidRPr="00BF7E3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EC33AA">
              <w:rPr>
                <w:lang w:val="bs-Latn-BA"/>
              </w:rPr>
              <w:lastRenderedPageBreak/>
              <w:t>Anketa građana o zadovoljstvu uslugama socijalne zaštite</w:t>
            </w:r>
            <w:r w:rsidRPr="00BF7E3E">
              <w:rPr>
                <w:lang w:val="bs-Latn-BA"/>
              </w:rPr>
              <w:t>Zadovoljstvo mladih učešćem u projektima volonterizma i uključenosti u opće društvene tokove;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EC33AA">
              <w:rPr>
                <w:lang w:val="bs-Latn-BA"/>
              </w:rPr>
              <w:t>Anketa građana o zadovoljstvu uslugama zdravstvene zaštite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60"/>
              <w:ind w:left="257" w:hanging="270"/>
              <w:jc w:val="both"/>
              <w:rPr>
                <w:lang w:val="bs-Latn-BA"/>
              </w:rPr>
            </w:pPr>
            <w:r w:rsidRPr="00BE29EE">
              <w:rPr>
                <w:lang w:val="bs-Latn-BA"/>
              </w:rPr>
              <w:t xml:space="preserve">Broj žena koji je imao direktnu korist od implementacije  projekata jačanja ekonomskog položaja i  društvene uloge </w:t>
            </w:r>
            <w:r w:rsidRPr="00BE29EE">
              <w:rPr>
                <w:lang w:val="bs-Latn-BA"/>
              </w:rPr>
              <w:lastRenderedPageBreak/>
              <w:t>žena.</w:t>
            </w:r>
          </w:p>
        </w:tc>
      </w:tr>
      <w:tr w:rsidR="006D651F" w:rsidRPr="00BF7E3E" w:rsidTr="0079240C">
        <w:tc>
          <w:tcPr>
            <w:tcW w:w="3151" w:type="dxa"/>
          </w:tcPr>
          <w:p w:rsidR="006D651F" w:rsidRPr="00BF7E3E" w:rsidRDefault="006D651F" w:rsidP="0079240C">
            <w:pPr>
              <w:spacing w:before="60"/>
              <w:jc w:val="both"/>
              <w:rPr>
                <w:smallCaps/>
                <w:lang w:val="en-US"/>
              </w:rPr>
            </w:pPr>
            <w:r w:rsidRPr="00BF7E3E">
              <w:rPr>
                <w:bCs/>
              </w:rPr>
              <w:lastRenderedPageBreak/>
              <w:t xml:space="preserve">2.2. Smanjeni rizici od katastrofa do </w:t>
            </w:r>
            <w:proofErr w:type="spellStart"/>
            <w:r w:rsidRPr="00BF7E3E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BF7E3E">
              <w:rPr>
                <w:bCs/>
              </w:rPr>
              <w:t>.g</w:t>
            </w:r>
            <w:proofErr w:type="spellEnd"/>
            <w:r w:rsidRPr="00BF7E3E">
              <w:rPr>
                <w:bCs/>
              </w:rPr>
              <w:t>.</w:t>
            </w:r>
          </w:p>
        </w:tc>
        <w:tc>
          <w:tcPr>
            <w:tcW w:w="3168" w:type="dxa"/>
          </w:tcPr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346" w:hanging="274"/>
              <w:rPr>
                <w:lang w:val="bs-Latn-BA"/>
              </w:rPr>
            </w:pPr>
            <w:r w:rsidRPr="00EC33AA">
              <w:rPr>
                <w:lang w:val="bs-Latn-BA"/>
              </w:rPr>
              <w:t xml:space="preserve">Ishod 1: Do 2022. </w:t>
            </w:r>
            <w:r>
              <w:rPr>
                <w:lang w:val="bs-Latn-BA"/>
              </w:rPr>
              <w:t>zadovoljstvo građana radom CZ na sprečavanju posljedica prirodnih katastrofa veće je za najmanje 10 procentnih poena u odnosu na 2016.g.;</w:t>
            </w:r>
          </w:p>
          <w:p w:rsidR="006D651F" w:rsidRPr="00EC33AA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346" w:hanging="274"/>
              <w:rPr>
                <w:lang w:val="bs-Latn-BA"/>
              </w:rPr>
            </w:pPr>
            <w:r w:rsidRPr="00EC33AA">
              <w:rPr>
                <w:lang w:val="bs-Latn-BA"/>
              </w:rPr>
              <w:t>Ishod 2: Do 2022. rizici od klizišta i mina smanjeni za kategoriju niže uodnosu na 2018.g.</w:t>
            </w:r>
          </w:p>
        </w:tc>
        <w:tc>
          <w:tcPr>
            <w:tcW w:w="3031" w:type="dxa"/>
          </w:tcPr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346" w:hanging="274"/>
              <w:rPr>
                <w:lang w:val="bs-Latn-BA"/>
              </w:rPr>
            </w:pPr>
            <w:r>
              <w:rPr>
                <w:lang w:val="bs-Latn-BA"/>
              </w:rPr>
              <w:t>Anketa o zadovoljstvu građana radom CZ;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346" w:hanging="274"/>
              <w:rPr>
                <w:lang w:val="bs-Latn-BA"/>
              </w:rPr>
            </w:pPr>
            <w:r w:rsidRPr="00EC33AA">
              <w:rPr>
                <w:lang w:val="bs-Latn-BA"/>
              </w:rPr>
              <w:t>Kategorija rizika od klizišta</w:t>
            </w:r>
          </w:p>
          <w:p w:rsidR="006D651F" w:rsidRPr="00EC33AA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346" w:hanging="274"/>
              <w:rPr>
                <w:lang w:val="bs-Latn-BA"/>
              </w:rPr>
            </w:pPr>
            <w:r w:rsidRPr="00EC33AA">
              <w:rPr>
                <w:lang w:val="bs-Latn-BA"/>
              </w:rPr>
              <w:t>Kategorija rizika od mina</w:t>
            </w:r>
          </w:p>
        </w:tc>
      </w:tr>
      <w:tr w:rsidR="006D651F" w:rsidRPr="00BF7E3E" w:rsidTr="0079240C">
        <w:tc>
          <w:tcPr>
            <w:tcW w:w="3151" w:type="dxa"/>
          </w:tcPr>
          <w:p w:rsidR="006D651F" w:rsidRPr="00BF7E3E" w:rsidRDefault="006D651F" w:rsidP="0079240C">
            <w:pPr>
              <w:rPr>
                <w:lang w:val="en-US"/>
              </w:rPr>
            </w:pPr>
            <w:r w:rsidRPr="006800E8">
              <w:rPr>
                <w:lang w:val="en-US"/>
              </w:rPr>
              <w:t>2.3</w:t>
            </w:r>
            <w:r>
              <w:rPr>
                <w:lang w:val="en-US"/>
              </w:rPr>
              <w:t>.</w:t>
            </w:r>
            <w:r w:rsidRPr="006800E8">
              <w:rPr>
                <w:lang w:val="en-US"/>
              </w:rPr>
              <w:t xml:space="preserve"> Do 2020.g. </w:t>
            </w:r>
            <w:proofErr w:type="spellStart"/>
            <w:r w:rsidRPr="006800E8">
              <w:rPr>
                <w:lang w:val="en-US"/>
              </w:rPr>
              <w:t>svi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mladi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imaju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ravnopravan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pristup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osnovnom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i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srdnjem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obrazovanju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usklađenim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sa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potrebama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tržišta</w:t>
            </w:r>
            <w:proofErr w:type="spellEnd"/>
            <w:r w:rsidRPr="006800E8">
              <w:rPr>
                <w:lang w:val="en-US"/>
              </w:rPr>
              <w:t xml:space="preserve"> </w:t>
            </w:r>
            <w:proofErr w:type="spellStart"/>
            <w:r w:rsidRPr="006800E8">
              <w:rPr>
                <w:lang w:val="en-US"/>
              </w:rPr>
              <w:t>rada</w:t>
            </w:r>
            <w:proofErr w:type="spellEnd"/>
            <w:r w:rsidRPr="006800E8">
              <w:rPr>
                <w:lang w:val="en-US"/>
              </w:rPr>
              <w:t>.</w:t>
            </w:r>
          </w:p>
        </w:tc>
        <w:tc>
          <w:tcPr>
            <w:tcW w:w="3168" w:type="dxa"/>
          </w:tcPr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60" w:hanging="274"/>
              <w:rPr>
                <w:lang w:val="bs-Latn-BA"/>
              </w:rPr>
            </w:pPr>
            <w:r w:rsidRPr="006800E8">
              <w:rPr>
                <w:lang w:val="bs-Latn-BA"/>
              </w:rPr>
              <w:t>Ishod 1: Do 2022.g. najmanje 70% anketiranih roditelja je zadovoljno prostornim uslovima u školi u kojima  borave njihova djeca.</w:t>
            </w:r>
            <w:r w:rsidRPr="00BF7E3E">
              <w:rPr>
                <w:lang w:val="bs-Latn-BA"/>
              </w:rPr>
              <w:t>;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60" w:hanging="274"/>
              <w:rPr>
                <w:lang w:val="bs-Latn-BA"/>
              </w:rPr>
            </w:pPr>
            <w:r w:rsidRPr="00BE29EE">
              <w:rPr>
                <w:lang w:val="bs-Latn-BA"/>
              </w:rPr>
              <w:t>Ishod 2: Do 2022.g. najmanje 70% ispitanih učenika je zadovoljno obrazovnim programima u formalnom i neformalnom obrazovanju na teritoriji općine Žepče</w:t>
            </w:r>
          </w:p>
        </w:tc>
        <w:tc>
          <w:tcPr>
            <w:tcW w:w="3031" w:type="dxa"/>
          </w:tcPr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60" w:hanging="274"/>
              <w:rPr>
                <w:lang w:val="bs-Latn-BA"/>
              </w:rPr>
            </w:pPr>
            <w:r w:rsidRPr="006800E8">
              <w:rPr>
                <w:lang w:val="bs-Latn-BA"/>
              </w:rPr>
              <w:t>Anketa o zadovoljstvu roditelja o prostornim uslovima u kojima se odvija obrazovanje</w:t>
            </w:r>
            <w:r>
              <w:rPr>
                <w:lang w:val="bs-Latn-BA"/>
              </w:rPr>
              <w:t>;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60" w:hanging="274"/>
              <w:rPr>
                <w:lang w:val="bs-Latn-BA"/>
              </w:rPr>
            </w:pPr>
            <w:r w:rsidRPr="00BE29EE">
              <w:rPr>
                <w:lang w:val="bs-Latn-BA"/>
              </w:rPr>
              <w:t>Anketa o zadovoljstvu učenika obrazovnim porgramima u formalnom i neformalnom obrazovanju</w:t>
            </w:r>
          </w:p>
        </w:tc>
      </w:tr>
      <w:tr w:rsidR="006D651F" w:rsidRPr="00BF7E3E" w:rsidTr="0079240C">
        <w:tc>
          <w:tcPr>
            <w:tcW w:w="3151" w:type="dxa"/>
          </w:tcPr>
          <w:p w:rsidR="006D651F" w:rsidRPr="00BF7E3E" w:rsidRDefault="006D651F" w:rsidP="0079240C">
            <w:pPr>
              <w:rPr>
                <w:lang w:val="en-US"/>
              </w:rPr>
            </w:pPr>
            <w:r w:rsidRPr="00B81916">
              <w:rPr>
                <w:lang w:val="en-US"/>
              </w:rPr>
              <w:t>2.4</w:t>
            </w:r>
            <w:r>
              <w:rPr>
                <w:lang w:val="en-US"/>
              </w:rPr>
              <w:t>.</w:t>
            </w:r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Poboljšani</w:t>
            </w:r>
            <w:proofErr w:type="spellEnd"/>
            <w:r w:rsidRPr="00B81916">
              <w:rPr>
                <w:lang w:val="en-US"/>
              </w:rPr>
              <w:t xml:space="preserve">  </w:t>
            </w:r>
            <w:proofErr w:type="spellStart"/>
            <w:r w:rsidRPr="00B81916">
              <w:rPr>
                <w:lang w:val="en-US"/>
              </w:rPr>
              <w:t>sportsko-kulturni</w:t>
            </w:r>
            <w:proofErr w:type="spellEnd"/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sadržaji</w:t>
            </w:r>
            <w:proofErr w:type="spellEnd"/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i</w:t>
            </w:r>
            <w:proofErr w:type="spellEnd"/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efikasnost</w:t>
            </w:r>
            <w:proofErr w:type="spellEnd"/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lokalne</w:t>
            </w:r>
            <w:proofErr w:type="spellEnd"/>
            <w:r w:rsidRPr="00B81916">
              <w:rPr>
                <w:lang w:val="en-US"/>
              </w:rPr>
              <w:t xml:space="preserve"> </w:t>
            </w:r>
            <w:proofErr w:type="spellStart"/>
            <w:r w:rsidRPr="00B81916">
              <w:rPr>
                <w:lang w:val="en-US"/>
              </w:rPr>
              <w:t>uprave</w:t>
            </w:r>
            <w:proofErr w:type="spellEnd"/>
            <w:r w:rsidRPr="00B81916">
              <w:rPr>
                <w:lang w:val="en-US"/>
              </w:rPr>
              <w:t xml:space="preserve"> do 2022.g.</w:t>
            </w:r>
          </w:p>
        </w:tc>
        <w:tc>
          <w:tcPr>
            <w:tcW w:w="3168" w:type="dxa"/>
          </w:tcPr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81916">
              <w:rPr>
                <w:lang w:val="bs-Latn-BA"/>
              </w:rPr>
              <w:t>Ishod 1: Do 2022.g. zadovoljstvo građana sportskim i kulturnim dešavanjima na teritoriji JLS uvećano za najmanje 6 procentnih poena u odnosu na 2016.g.</w:t>
            </w:r>
            <w:r>
              <w:rPr>
                <w:lang w:val="bs-Latn-BA"/>
              </w:rPr>
              <w:t>;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81916">
              <w:rPr>
                <w:lang w:val="bs-Latn-BA"/>
              </w:rPr>
              <w:t>Ishod 2: Do 2022.g. povećano zadovoljstvo građana kvalitetom usluge javne uprave za najmanje 10 procentnih poena u odnosu na 2016. g.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E29EE">
              <w:rPr>
                <w:lang w:val="bs-Latn-BA"/>
              </w:rPr>
              <w:t>Ishod 3: Do 2022.g. povećano zadovoljstvo građana kvalitetom usluga NVO sektora je za najmanje 10 procentnih poena u odnosu na 2018. g.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E29EE">
              <w:rPr>
                <w:lang w:val="bs-Latn-BA"/>
              </w:rPr>
              <w:t>Ishod 4: Do 2022.g. potpisan sporazum sa donatorima/investitorima o financiranju izgradnje zgrade općinske uprave.</w:t>
            </w:r>
          </w:p>
        </w:tc>
        <w:tc>
          <w:tcPr>
            <w:tcW w:w="3031" w:type="dxa"/>
          </w:tcPr>
          <w:p w:rsidR="006D651F" w:rsidRPr="00BF7E3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81916">
              <w:rPr>
                <w:lang w:val="bs-Latn-BA"/>
              </w:rPr>
              <w:t>Anketa o zadovoljstvu građana sportskim i kulturnim dešavanjima na području JLS</w:t>
            </w:r>
            <w:r w:rsidRPr="00BF7E3E">
              <w:rPr>
                <w:lang w:val="bs-Latn-BA"/>
              </w:rPr>
              <w:t>;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81916">
              <w:rPr>
                <w:lang w:val="bs-Latn-BA"/>
              </w:rPr>
              <w:t>Anketa o zadovoljstvu građana kvalitetom usluge javne uprave</w:t>
            </w:r>
            <w:r w:rsidRPr="00BF7E3E">
              <w:rPr>
                <w:lang w:val="bs-Latn-BA"/>
              </w:rPr>
              <w:t>.</w:t>
            </w:r>
          </w:p>
          <w:p w:rsidR="006D651F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E29EE">
              <w:rPr>
                <w:lang w:val="bs-Latn-BA"/>
              </w:rPr>
              <w:t>Anketa o zadovoljstvu građana kvalitetom usluga NVO sektora</w:t>
            </w:r>
          </w:p>
          <w:p w:rsidR="006D651F" w:rsidRPr="00BE29EE" w:rsidRDefault="006D651F" w:rsidP="006D651F">
            <w:pPr>
              <w:numPr>
                <w:ilvl w:val="0"/>
                <w:numId w:val="1"/>
              </w:numPr>
              <w:tabs>
                <w:tab w:val="clear" w:pos="1080"/>
                <w:tab w:val="num" w:pos="257"/>
              </w:tabs>
              <w:spacing w:before="120"/>
              <w:ind w:left="257" w:hanging="257"/>
              <w:rPr>
                <w:lang w:val="bs-Latn-BA"/>
              </w:rPr>
            </w:pPr>
            <w:r w:rsidRPr="00BE29EE">
              <w:rPr>
                <w:lang w:val="bs-Latn-BA"/>
              </w:rPr>
              <w:t>Sporazum sa donatorima/investitorima o financiranju izgradnje zgrade općinske uprave.</w:t>
            </w:r>
          </w:p>
        </w:tc>
      </w:tr>
    </w:tbl>
    <w:p w:rsidR="006D651F" w:rsidRPr="000650B8" w:rsidRDefault="006D651F" w:rsidP="006D651F">
      <w:pPr>
        <w:rPr>
          <w:rFonts w:ascii="Myriad Pro" w:hAnsi="Myriad Pro"/>
          <w:lang w:val="bs-Latn-BA"/>
        </w:rPr>
      </w:pPr>
    </w:p>
    <w:p w:rsidR="006D651F" w:rsidRPr="000650B8" w:rsidRDefault="006D651F" w:rsidP="006D651F">
      <w:pPr>
        <w:pStyle w:val="Naslov3"/>
        <w:rPr>
          <w:rFonts w:eastAsia="TTE1FFBE00t00"/>
        </w:rPr>
      </w:pPr>
      <w:bookmarkStart w:id="6" w:name="_Toc480231695"/>
      <w:bookmarkStart w:id="7" w:name="_Toc501327569"/>
      <w:proofErr w:type="spellStart"/>
      <w:r>
        <w:rPr>
          <w:rFonts w:eastAsia="TTE1FFBE00t00"/>
        </w:rPr>
        <w:lastRenderedPageBreak/>
        <w:t>V.2.2</w:t>
      </w:r>
      <w:proofErr w:type="spellEnd"/>
      <w:r>
        <w:rPr>
          <w:rFonts w:eastAsia="TTE1FFBE00t00"/>
        </w:rPr>
        <w:t>. Usklađenost</w:t>
      </w:r>
      <w:r w:rsidRPr="000650B8">
        <w:rPr>
          <w:rFonts w:eastAsia="TTE1FFBE00t00"/>
        </w:rPr>
        <w:t xml:space="preserve"> sa strateškim dokumentima viših nivoa</w:t>
      </w:r>
      <w:bookmarkEnd w:id="6"/>
      <w:bookmarkEnd w:id="7"/>
    </w:p>
    <w:p w:rsidR="006D651F" w:rsidRDefault="006D651F" w:rsidP="006D651F">
      <w:pPr>
        <w:spacing w:line="276" w:lineRule="auto"/>
        <w:jc w:val="both"/>
      </w:pPr>
    </w:p>
    <w:p w:rsidR="006D651F" w:rsidRDefault="006D651F" w:rsidP="006D651F">
      <w:pPr>
        <w:spacing w:line="276" w:lineRule="auto"/>
        <w:jc w:val="both"/>
      </w:pPr>
      <w:r>
        <w:t>Definirani sektorski ciljevi u oblasti društvenog razvoja usklađeni su sa važećim strateškim dokumentima, pravcima razvoja i planovima viših nivoa, i to:</w:t>
      </w:r>
    </w:p>
    <w:p w:rsidR="006D651F" w:rsidRDefault="006D651F" w:rsidP="006D651F">
      <w:pPr>
        <w:spacing w:line="276" w:lineRule="auto"/>
        <w:jc w:val="both"/>
      </w:pPr>
    </w:p>
    <w:p w:rsidR="006D651F" w:rsidRPr="00FD670A" w:rsidRDefault="006D651F" w:rsidP="006D651F">
      <w:pPr>
        <w:pStyle w:val="Default"/>
        <w:numPr>
          <w:ilvl w:val="0"/>
          <w:numId w:val="4"/>
        </w:numPr>
        <w:spacing w:after="5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razvoja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Zeničko-dobojskog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kantona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period 2016-2020.</w:t>
      </w:r>
      <w:r w:rsidRPr="00FD670A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ciljeve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3./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Unaprijediti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kvalitet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življenja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kroz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stvaranje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održivog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pravičnog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društvenog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okruženja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2./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Pružiti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veću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podršku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poljoprivredi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ruralnom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turizma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>;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spacing w:after="58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socijalnog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uključivanja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BiH</w:t>
      </w:r>
      <w:r w:rsidRPr="00FD670A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D670A">
        <w:rPr>
          <w:rFonts w:ascii="Calibri" w:hAnsi="Calibri" w:cs="Calibri"/>
          <w:sz w:val="22"/>
          <w:szCs w:val="22"/>
        </w:rPr>
        <w:t>svim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njenim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prioritetima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FD670A">
        <w:rPr>
          <w:rFonts w:ascii="Calibri" w:hAnsi="Calibri" w:cs="Calibri"/>
          <w:sz w:val="22"/>
          <w:szCs w:val="22"/>
        </w:rPr>
        <w:t>naročito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okviru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Podcilja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3/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Poboljšati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obrazovanje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; 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Strateški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pravci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razvoja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obrazovanja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u BiH 2008-2015.g.</w:t>
      </w:r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gdje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D670A">
        <w:rPr>
          <w:rFonts w:ascii="Calibri" w:hAnsi="Calibri" w:cs="Calibri"/>
          <w:sz w:val="22"/>
          <w:szCs w:val="22"/>
        </w:rPr>
        <w:t>veza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ogleda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pravce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 xml:space="preserve">4.1/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Razvoj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obrazovnog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sektora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sz w:val="22"/>
          <w:szCs w:val="22"/>
        </w:rPr>
        <w:t>te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4.3/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Jednakost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pristupa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pravičnost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obrazovanju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; 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spacing w:after="58"/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Strateški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plan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razvoja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lokalne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samouprave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u BiH</w:t>
      </w:r>
      <w:r w:rsidRPr="00FD670A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D670A">
        <w:rPr>
          <w:rFonts w:ascii="Calibri" w:hAnsi="Calibri" w:cs="Calibri"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Strateške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ciljeve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4./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Osigurati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stalno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unaprjeđivanje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kvaliteta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ekonomičnosti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usluga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sz w:val="22"/>
          <w:szCs w:val="22"/>
        </w:rPr>
        <w:t xml:space="preserve"> </w:t>
      </w:r>
      <w:r w:rsidRPr="00FD670A">
        <w:rPr>
          <w:rFonts w:ascii="Calibri" w:hAnsi="Calibri" w:cs="Calibri"/>
          <w:i/>
          <w:iCs/>
          <w:sz w:val="22"/>
          <w:szCs w:val="22"/>
        </w:rPr>
        <w:t>6./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Osigurati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odgovorno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jedinstveno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vršenje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javnih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poslova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svih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nivoa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vlasti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lokalnoj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i/>
          <w:iCs/>
          <w:sz w:val="22"/>
          <w:szCs w:val="22"/>
        </w:rPr>
        <w:t>zajednici</w:t>
      </w:r>
      <w:proofErr w:type="spellEnd"/>
      <w:r w:rsidRPr="00FD670A">
        <w:rPr>
          <w:rFonts w:ascii="Calibri" w:hAnsi="Calibri" w:cs="Calibri"/>
          <w:i/>
          <w:iCs/>
          <w:sz w:val="22"/>
          <w:szCs w:val="22"/>
        </w:rPr>
        <w:t xml:space="preserve">; 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spacing w:after="58"/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protuminskog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djelovanja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u BiH 2009-2019, </w:t>
      </w:r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FD670A">
        <w:rPr>
          <w:rFonts w:ascii="Calibri" w:hAnsi="Calibri" w:cs="Calibri"/>
          <w:bCs/>
          <w:i/>
          <w:iCs/>
          <w:sz w:val="22"/>
          <w:szCs w:val="22"/>
        </w:rPr>
        <w:t>na</w:t>
      </w:r>
      <w:proofErr w:type="spellEnd"/>
      <w:proofErr w:type="gram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Strateški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cilj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1/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Osigurati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uvjete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kontinuirano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efikasno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sprovođenje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operacija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humanitarnog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deminiranja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skladu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potrebama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zemlje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neophodnim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materijalnim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finansijskim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ljudskim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resursima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uz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visok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nivo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osiguranja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kvaliteta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>.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Platforma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smanjenje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rizika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od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katastrofa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BiH,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posebice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Viziju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platforme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stav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(2)/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Jačanje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upravljanja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rizicima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od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katastrofa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stav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(3)/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Ulaganje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smanjenje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rizika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od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katastrofa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radi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povećanja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otpornosti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>;</w:t>
      </w:r>
    </w:p>
    <w:p w:rsidR="006D651F" w:rsidRPr="00FD670A" w:rsidRDefault="006D651F" w:rsidP="006D651F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odnosu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na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EU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strateška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opredjeljenja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predstavljena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u</w:t>
      </w:r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Europskoj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strategiji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rasta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i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razvoja</w:t>
      </w:r>
      <w:proofErr w:type="spellEnd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 xml:space="preserve"> 2020.</w:t>
      </w:r>
      <w:proofErr w:type="gramStart"/>
      <w:r w:rsidRPr="00FD670A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FD670A">
        <w:rPr>
          <w:rFonts w:ascii="Calibri" w:hAnsi="Calibri" w:cs="Calibri"/>
          <w:bCs/>
          <w:i/>
          <w:iCs/>
          <w:sz w:val="22"/>
          <w:szCs w:val="22"/>
        </w:rPr>
        <w:t>ovaj</w:t>
      </w:r>
      <w:proofErr w:type="gram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cilj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vezuje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za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Strateški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pravac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3./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Inkluzivni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FD670A">
        <w:rPr>
          <w:rFonts w:ascii="Calibri" w:hAnsi="Calibri" w:cs="Calibri"/>
          <w:bCs/>
          <w:i/>
          <w:iCs/>
          <w:sz w:val="22"/>
          <w:szCs w:val="22"/>
        </w:rPr>
        <w:t>rast</w:t>
      </w:r>
      <w:proofErr w:type="spellEnd"/>
      <w:r w:rsidRPr="00FD670A">
        <w:rPr>
          <w:rFonts w:ascii="Calibri" w:hAnsi="Calibri" w:cs="Calibri"/>
          <w:bCs/>
          <w:i/>
          <w:iCs/>
          <w:sz w:val="22"/>
          <w:szCs w:val="22"/>
        </w:rPr>
        <w:t>.</w:t>
      </w:r>
    </w:p>
    <w:p w:rsidR="006D651F" w:rsidRDefault="006D651F" w:rsidP="006D651F">
      <w:pPr>
        <w:rPr>
          <w:rFonts w:ascii="Myriad Pro" w:hAnsi="Myriad Pro"/>
          <w:color w:val="FF0000"/>
        </w:rPr>
      </w:pPr>
    </w:p>
    <w:p w:rsidR="006D651F" w:rsidRPr="00E526C4" w:rsidRDefault="006D651F" w:rsidP="006D651F">
      <w:pPr>
        <w:pStyle w:val="Naslov3"/>
      </w:pPr>
      <w:bookmarkStart w:id="8" w:name="_Toc480231696"/>
      <w:bookmarkStart w:id="9" w:name="_Toc501327570"/>
      <w:proofErr w:type="spellStart"/>
      <w:r w:rsidRPr="00D33DD0">
        <w:t>V.2.3.</w:t>
      </w:r>
      <w:r w:rsidRPr="00E526C4">
        <w:t>Inicijative</w:t>
      </w:r>
      <w:proofErr w:type="spellEnd"/>
      <w:r w:rsidRPr="00E526C4">
        <w:t xml:space="preserve"> </w:t>
      </w:r>
      <w:proofErr w:type="spellStart"/>
      <w:r w:rsidRPr="00E526C4">
        <w:t>međuopćinske</w:t>
      </w:r>
      <w:proofErr w:type="spellEnd"/>
      <w:r w:rsidRPr="00E526C4">
        <w:t xml:space="preserve"> saradnje</w:t>
      </w:r>
      <w:bookmarkEnd w:id="8"/>
      <w:bookmarkEnd w:id="9"/>
    </w:p>
    <w:p w:rsidR="006D651F" w:rsidRDefault="006D651F" w:rsidP="006D651F"/>
    <w:p w:rsidR="006D651F" w:rsidRPr="00407D81" w:rsidRDefault="006D651F" w:rsidP="006D651F">
      <w:pPr>
        <w:pStyle w:val="Odlomakpopisa"/>
        <w:ind w:left="0"/>
        <w:rPr>
          <w:rFonts w:ascii="Myriad Pro" w:hAnsi="Myriad Pro"/>
          <w:lang w:val="pl-PL"/>
        </w:rPr>
      </w:pPr>
      <w:r w:rsidRPr="00390443">
        <w:rPr>
          <w:lang w:val="pl-PL"/>
        </w:rPr>
        <w:t>Najznačajnije oblasti i inicijative koje predstavljaju potencijal za međuopćinsku saradnju u domenu društvenog razvoja su</w:t>
      </w:r>
      <w:r w:rsidRPr="00407D81">
        <w:rPr>
          <w:rFonts w:ascii="Myriad Pro" w:hAnsi="Myriad Pro"/>
          <w:lang w:val="pl-PL"/>
        </w:rPr>
        <w:t>:</w:t>
      </w:r>
    </w:p>
    <w:p w:rsidR="006D651F" w:rsidRDefault="006D651F" w:rsidP="006D651F">
      <w:pPr>
        <w:spacing w:line="276" w:lineRule="auto"/>
      </w:pPr>
    </w:p>
    <w:p w:rsidR="006D651F" w:rsidRPr="00B9277B" w:rsidRDefault="006D651F" w:rsidP="006D651F">
      <w:pPr>
        <w:numPr>
          <w:ilvl w:val="0"/>
          <w:numId w:val="3"/>
        </w:numPr>
        <w:spacing w:line="276" w:lineRule="auto"/>
        <w:jc w:val="both"/>
        <w:rPr>
          <w:rFonts w:ascii="Myriad Pro" w:hAnsi="Myriad Pro"/>
        </w:rPr>
      </w:pPr>
      <w:r w:rsidRPr="00B9277B">
        <w:t>Saradnja sa susjednim općinama u segmentu uvođenja dobrih praksi u lokalnu samoupravu i unapređenja u</w:t>
      </w:r>
      <w:r>
        <w:t>sluga koje se pružaju građanima</w:t>
      </w:r>
      <w:r w:rsidRPr="00B9277B">
        <w:t>.</w:t>
      </w:r>
    </w:p>
    <w:p w:rsidR="006D651F" w:rsidRPr="00B9277B" w:rsidRDefault="006D651F" w:rsidP="006D651F">
      <w:pPr>
        <w:numPr>
          <w:ilvl w:val="0"/>
          <w:numId w:val="3"/>
        </w:numPr>
        <w:spacing w:before="120" w:line="276" w:lineRule="auto"/>
        <w:jc w:val="both"/>
        <w:rPr>
          <w:rFonts w:ascii="Myriad Pro" w:hAnsi="Myriad Pro"/>
        </w:rPr>
      </w:pPr>
      <w:r w:rsidRPr="00B9277B">
        <w:t xml:space="preserve">Posebno je važno sagledati mogućnosti </w:t>
      </w:r>
      <w:proofErr w:type="spellStart"/>
      <w:r w:rsidRPr="00B9277B">
        <w:t>međuoćinske</w:t>
      </w:r>
      <w:proofErr w:type="spellEnd"/>
      <w:r w:rsidRPr="00B9277B">
        <w:t xml:space="preserve"> saradnje u segmentu jačanja kapaciteta lokalne zaj</w:t>
      </w:r>
      <w:r>
        <w:t>e</w:t>
      </w:r>
      <w:r w:rsidRPr="00B9277B">
        <w:t xml:space="preserve">dnice za smanjenje rizika od prirodnih i drugih opasnosti kroz pripremu i implementaciju projekata </w:t>
      </w:r>
      <w:r>
        <w:t xml:space="preserve">mapiranja klizišta i </w:t>
      </w:r>
      <w:proofErr w:type="spellStart"/>
      <w:r>
        <w:t>deminiranja</w:t>
      </w:r>
      <w:proofErr w:type="spellEnd"/>
      <w:r>
        <w:t xml:space="preserve"> rubnih područja općine</w:t>
      </w:r>
      <w:r w:rsidRPr="00B9277B">
        <w:t>.</w:t>
      </w:r>
    </w:p>
    <w:p w:rsidR="006D651F" w:rsidRPr="000650B8" w:rsidRDefault="006D651F" w:rsidP="006D651F">
      <w:pPr>
        <w:rPr>
          <w:rFonts w:ascii="Myriad Pro" w:hAnsi="Myriad Pro"/>
          <w:color w:val="FF0000"/>
        </w:rPr>
      </w:pPr>
    </w:p>
    <w:p w:rsidR="006D651F" w:rsidRPr="000650B8" w:rsidRDefault="006D651F" w:rsidP="006D651F">
      <w:pPr>
        <w:pStyle w:val="Naslov3"/>
      </w:pPr>
      <w:bookmarkStart w:id="10" w:name="_Toc480231697"/>
      <w:bookmarkStart w:id="11" w:name="_Toc501327571"/>
      <w:proofErr w:type="spellStart"/>
      <w:r>
        <w:t>V.2</w:t>
      </w:r>
      <w:r w:rsidRPr="000650B8">
        <w:t>.</w:t>
      </w:r>
      <w:r>
        <w:t>4</w:t>
      </w:r>
      <w:proofErr w:type="spellEnd"/>
      <w:r w:rsidRPr="000650B8">
        <w:t>.</w:t>
      </w:r>
      <w:r w:rsidRPr="000650B8">
        <w:tab/>
        <w:t>Programi, projekti i mjere</w:t>
      </w:r>
      <w:bookmarkEnd w:id="10"/>
      <w:bookmarkEnd w:id="11"/>
    </w:p>
    <w:p w:rsidR="006D651F" w:rsidRDefault="006D651F" w:rsidP="006D651F">
      <w:pPr>
        <w:rPr>
          <w:rFonts w:ascii="Myriad Pro" w:hAnsi="Myriad Pro"/>
          <w:lang w:val="bs-Latn-BA"/>
        </w:rPr>
      </w:pPr>
    </w:p>
    <w:p w:rsidR="006D651F" w:rsidRPr="00390443" w:rsidRDefault="006D651F" w:rsidP="006D651F">
      <w:pPr>
        <w:jc w:val="both"/>
        <w:rPr>
          <w:lang w:val="bs-Latn-BA"/>
        </w:rPr>
      </w:pPr>
      <w:r w:rsidRPr="00390443">
        <w:rPr>
          <w:lang w:val="bs-Latn-BA"/>
        </w:rPr>
        <w:t xml:space="preserve">Za realizaciju revidiranog plana društvenog razvoja općine </w:t>
      </w:r>
      <w:r>
        <w:rPr>
          <w:lang w:val="bs-Latn-BA"/>
        </w:rPr>
        <w:t>Žepče</w:t>
      </w:r>
      <w:r w:rsidRPr="00390443">
        <w:rPr>
          <w:lang w:val="bs-Latn-BA"/>
        </w:rPr>
        <w:t xml:space="preserve"> defini</w:t>
      </w:r>
      <w:r>
        <w:rPr>
          <w:lang w:val="bs-Latn-BA"/>
        </w:rPr>
        <w:t>r</w:t>
      </w:r>
      <w:r w:rsidRPr="00390443">
        <w:rPr>
          <w:lang w:val="bs-Latn-BA"/>
        </w:rPr>
        <w:t xml:space="preserve">ano je </w:t>
      </w:r>
      <w:r w:rsidRPr="009B17B4">
        <w:rPr>
          <w:b/>
          <w:lang w:val="bs-Latn-BA"/>
        </w:rPr>
        <w:t>23</w:t>
      </w:r>
      <w:r>
        <w:rPr>
          <w:b/>
          <w:lang w:val="bs-Latn-BA"/>
        </w:rPr>
        <w:t xml:space="preserve"> projek</w:t>
      </w:r>
      <w:r w:rsidRPr="00390443">
        <w:rPr>
          <w:b/>
          <w:lang w:val="bs-Latn-BA"/>
        </w:rPr>
        <w:t>ta i mjer</w:t>
      </w:r>
      <w:r>
        <w:rPr>
          <w:b/>
          <w:lang w:val="bs-Latn-BA"/>
        </w:rPr>
        <w:t>e</w:t>
      </w:r>
      <w:r w:rsidRPr="00390443">
        <w:rPr>
          <w:lang w:val="bs-Latn-BA"/>
        </w:rPr>
        <w:t xml:space="preserve"> grupisanih u </w:t>
      </w:r>
      <w:r>
        <w:rPr>
          <w:b/>
          <w:lang w:val="bs-Latn-BA"/>
        </w:rPr>
        <w:t>9</w:t>
      </w:r>
      <w:r w:rsidRPr="00390443">
        <w:rPr>
          <w:b/>
          <w:lang w:val="bs-Latn-BA"/>
        </w:rPr>
        <w:t xml:space="preserve"> programa</w:t>
      </w:r>
      <w:r w:rsidRPr="00390443">
        <w:rPr>
          <w:lang w:val="bs-Latn-BA"/>
        </w:rPr>
        <w:t>:</w:t>
      </w:r>
    </w:p>
    <w:p w:rsidR="006D651F" w:rsidRDefault="006D651F" w:rsidP="006D651F">
      <w:pPr>
        <w:rPr>
          <w:rFonts w:ascii="Myriad Pro" w:hAnsi="Myriad Pro"/>
          <w:lang w:val="bs-Latn-BA"/>
        </w:rPr>
      </w:pPr>
    </w:p>
    <w:p w:rsidR="006D651F" w:rsidRPr="00CA6E3C" w:rsidRDefault="006D651F" w:rsidP="006D651F">
      <w:pPr>
        <w:pStyle w:val="Tabela"/>
      </w:pPr>
      <w:bookmarkStart w:id="12" w:name="_Toc501236891"/>
      <w:r>
        <w:t>Tabela 22.  Pregled programa društvenog razvoja općine Žepče.</w:t>
      </w:r>
      <w:bookmarkEnd w:id="12"/>
      <w: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9"/>
        <w:gridCol w:w="4321"/>
      </w:tblGrid>
      <w:tr w:rsidR="006D651F" w:rsidRPr="009A0AC4" w:rsidTr="0079240C">
        <w:tc>
          <w:tcPr>
            <w:tcW w:w="4859" w:type="dxa"/>
            <w:shd w:val="clear" w:color="auto" w:fill="0F243E"/>
            <w:vAlign w:val="center"/>
          </w:tcPr>
          <w:p w:rsidR="006D651F" w:rsidRPr="009A0AC4" w:rsidRDefault="006D651F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9A0AC4">
              <w:rPr>
                <w:rFonts w:ascii="Myriad Pro" w:hAnsi="Myriad Pro"/>
                <w:b/>
                <w:lang w:val="bs-Latn-BA"/>
              </w:rPr>
              <w:t>PROGRAM</w:t>
            </w:r>
          </w:p>
        </w:tc>
        <w:tc>
          <w:tcPr>
            <w:tcW w:w="4321" w:type="dxa"/>
            <w:shd w:val="clear" w:color="auto" w:fill="0F243E"/>
            <w:vAlign w:val="center"/>
          </w:tcPr>
          <w:p w:rsidR="006D651F" w:rsidRPr="009A0AC4" w:rsidRDefault="006D651F" w:rsidP="0079240C">
            <w:pPr>
              <w:pStyle w:val="Odlomakpopisa"/>
              <w:ind w:left="0"/>
              <w:contextualSpacing w:val="0"/>
              <w:rPr>
                <w:rFonts w:ascii="Myriad Pro" w:hAnsi="Myriad Pro"/>
                <w:b/>
                <w:lang w:val="bs-Latn-BA"/>
              </w:rPr>
            </w:pPr>
            <w:r w:rsidRPr="009A0AC4">
              <w:rPr>
                <w:rFonts w:ascii="Myriad Pro" w:hAnsi="Myriad Pro"/>
                <w:b/>
                <w:lang w:val="bs-Latn-BA"/>
              </w:rPr>
              <w:t>MJERA/PROJEKAT</w:t>
            </w:r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2.1.1. </w:t>
            </w:r>
            <w:r w:rsidRPr="00B81916">
              <w:rPr>
                <w:b/>
                <w:lang w:val="bs-Latn-BA"/>
              </w:rPr>
              <w:t>Program unaprijeđena socijalne sigurnosti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2.1.1.1. Izrada Socijalne karte općine Žepče</w:t>
            </w:r>
          </w:p>
        </w:tc>
      </w:tr>
      <w:tr w:rsidR="006D651F" w:rsidRPr="009A0AC4" w:rsidTr="0079240C">
        <w:trPr>
          <w:trHeight w:val="1014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2.1.1.2. Izrada </w:t>
            </w:r>
            <w:proofErr w:type="spellStart"/>
            <w:r>
              <w:rPr>
                <w:color w:val="000000"/>
              </w:rPr>
              <w:t>Gender</w:t>
            </w:r>
            <w:proofErr w:type="spellEnd"/>
            <w:r>
              <w:rPr>
                <w:color w:val="000000"/>
              </w:rPr>
              <w:t xml:space="preserve"> akcionog plana Općine Žepče </w:t>
            </w:r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2.1.2. </w:t>
            </w:r>
            <w:r w:rsidRPr="00B81916">
              <w:rPr>
                <w:b/>
                <w:lang w:val="bs-Latn-BA"/>
              </w:rPr>
              <w:t>Program unaprijeđena zdravstvenih usluga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2.1.2.1. Informatizacija svih ustanova Doma zdravlja i ambulanti na području opštine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2.1.2.2. Izgradnja područne ambulante u Ozimici</w:t>
            </w:r>
          </w:p>
        </w:tc>
      </w:tr>
      <w:tr w:rsidR="006D651F" w:rsidRPr="009A0AC4" w:rsidTr="0079240C">
        <w:trPr>
          <w:trHeight w:val="74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2.1.2.3. Uvođenje novih i unapređenje postojećih usluga institucija koje se bave zdravljem mladih</w:t>
            </w:r>
          </w:p>
        </w:tc>
      </w:tr>
      <w:tr w:rsidR="006D651F" w:rsidRPr="009A0AC4" w:rsidTr="0079240C">
        <w:trPr>
          <w:trHeight w:val="72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2.1.2.4. Unapređenje zdravlja žena i </w:t>
            </w:r>
            <w:proofErr w:type="spellStart"/>
            <w:r>
              <w:rPr>
                <w:color w:val="000000"/>
              </w:rPr>
              <w:t>djevojaka</w:t>
            </w:r>
            <w:proofErr w:type="spellEnd"/>
            <w:r>
              <w:rPr>
                <w:color w:val="000000"/>
              </w:rPr>
              <w:t xml:space="preserve"> u ruralnim područjima</w:t>
            </w:r>
          </w:p>
        </w:tc>
      </w:tr>
      <w:tr w:rsidR="006D651F" w:rsidRPr="009A0AC4" w:rsidTr="0079240C">
        <w:trPr>
          <w:trHeight w:val="72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525065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2.1.2.5. Osposobljavanje za rad stomatološke ordinacije </w:t>
            </w:r>
          </w:p>
        </w:tc>
      </w:tr>
      <w:tr w:rsidR="006D651F" w:rsidRPr="009A0AC4" w:rsidTr="0079240C">
        <w:trPr>
          <w:trHeight w:val="327"/>
        </w:trPr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2.2.1. </w:t>
            </w:r>
            <w:r w:rsidRPr="00B81916">
              <w:rPr>
                <w:b/>
                <w:lang w:val="bs-Latn-BA"/>
              </w:rPr>
              <w:t>Program jačanja kapaciteta subjekata zaštite i spašavanja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2.2.1.1.  Formiranje jedinica civilne zaštite opće i specijalizirane </w:t>
            </w:r>
            <w:proofErr w:type="spellStart"/>
            <w:r>
              <w:rPr>
                <w:color w:val="000000"/>
              </w:rPr>
              <w:t>namjene</w:t>
            </w:r>
            <w:proofErr w:type="spellEnd"/>
          </w:p>
        </w:tc>
      </w:tr>
      <w:tr w:rsidR="006D651F" w:rsidRPr="009A0AC4" w:rsidTr="0079240C">
        <w:trPr>
          <w:trHeight w:val="326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2.2.1.2. Jačanje udruženja građana  u općini Žepče čije djelatnosti su od značaja za zaštitu i spašavanje </w:t>
            </w:r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2.2.2. </w:t>
            </w:r>
            <w:r w:rsidRPr="00024927">
              <w:rPr>
                <w:b/>
                <w:lang w:val="bs-Latn-BA"/>
              </w:rPr>
              <w:t>Program smanjenja rizika od prirodnih i drugih nesreća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2.2.2.1. Projekat </w:t>
            </w:r>
            <w:proofErr w:type="spellStart"/>
            <w:r>
              <w:rPr>
                <w:color w:val="000000"/>
              </w:rPr>
              <w:t>safEarth</w:t>
            </w:r>
            <w:proofErr w:type="spellEnd"/>
          </w:p>
        </w:tc>
      </w:tr>
      <w:tr w:rsidR="006D651F" w:rsidRPr="009A0AC4" w:rsidTr="0079240C">
        <w:trPr>
          <w:trHeight w:val="267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2.2.2.2. </w:t>
            </w:r>
            <w:proofErr w:type="spellStart"/>
            <w:r>
              <w:rPr>
                <w:color w:val="000000"/>
              </w:rPr>
              <w:t>Deminiranje</w:t>
            </w:r>
            <w:proofErr w:type="spellEnd"/>
            <w:r>
              <w:rPr>
                <w:color w:val="000000"/>
              </w:rPr>
              <w:t xml:space="preserve"> Žepče -Jug</w:t>
            </w:r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2.3.1. </w:t>
            </w:r>
            <w:r w:rsidRPr="00024927">
              <w:rPr>
                <w:b/>
                <w:lang w:val="bs-Latn-BA"/>
              </w:rPr>
              <w:t>Program unaprijeđenja obrazovne infrastrukture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2.3.1.1. Izgradnja učeničkog doma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2.3.1.2. Izgradnja središnje osnovne škole u </w:t>
            </w:r>
            <w:proofErr w:type="spellStart"/>
            <w:r>
              <w:rPr>
                <w:color w:val="000000"/>
              </w:rPr>
              <w:t>Žepču</w:t>
            </w:r>
            <w:proofErr w:type="spellEnd"/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2.3.1.3. Sanacija montažnog objekta –baraka u dvorištu škole i dogradnja dvije učionice u školskom objektu</w:t>
            </w:r>
          </w:p>
        </w:tc>
      </w:tr>
      <w:tr w:rsidR="006D651F" w:rsidRPr="009A0AC4" w:rsidTr="0079240C">
        <w:trPr>
          <w:trHeight w:val="337"/>
        </w:trPr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2.3.2. </w:t>
            </w:r>
            <w:r w:rsidRPr="00024927">
              <w:rPr>
                <w:b/>
                <w:lang w:val="bs-Latn-BA"/>
              </w:rPr>
              <w:t>Program unaprijeđenja nastavnog sadržaja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rPr>
                <w:lang w:val="bs-Latn-BA"/>
              </w:rPr>
            </w:pPr>
            <w:r>
              <w:rPr>
                <w:color w:val="000000"/>
              </w:rPr>
              <w:t>2.3.2.1. Pametna škola</w:t>
            </w:r>
          </w:p>
        </w:tc>
      </w:tr>
      <w:tr w:rsidR="006D651F" w:rsidRPr="009A0AC4" w:rsidTr="0079240C">
        <w:trPr>
          <w:trHeight w:val="345"/>
        </w:trPr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2.3.2.2. STEM obrazovanje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2.3.2.3. Od učenika do </w:t>
            </w:r>
            <w:proofErr w:type="spellStart"/>
            <w:r>
              <w:rPr>
                <w:color w:val="000000"/>
              </w:rPr>
              <w:t>poduzetnika</w:t>
            </w:r>
            <w:proofErr w:type="spellEnd"/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390443">
              <w:rPr>
                <w:b/>
                <w:lang w:val="bs-Latn-BA"/>
              </w:rPr>
              <w:t xml:space="preserve">2.4.1. </w:t>
            </w:r>
            <w:r w:rsidRPr="00024927">
              <w:rPr>
                <w:b/>
                <w:lang w:val="bs-Latn-BA"/>
              </w:rPr>
              <w:t>Program unaprijeđenja sportske infrastrukture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2.4.1.1. Sportska školska dvorana </w:t>
            </w:r>
            <w:proofErr w:type="spellStart"/>
            <w:r>
              <w:rPr>
                <w:color w:val="000000"/>
              </w:rPr>
              <w:t>Mjestova</w:t>
            </w:r>
            <w:proofErr w:type="spellEnd"/>
            <w:r>
              <w:rPr>
                <w:color w:val="000000"/>
              </w:rPr>
              <w:t xml:space="preserve"> Ravan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2.4.1.2. Izgradnja sportske sale u MZ Ponijevo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>2.4.1.3. Rekonstrukcija terena za mali nogomet Rovašica-</w:t>
            </w:r>
            <w:proofErr w:type="spellStart"/>
            <w:r>
              <w:rPr>
                <w:color w:val="000000"/>
              </w:rPr>
              <w:t>Željezno</w:t>
            </w:r>
            <w:proofErr w:type="spellEnd"/>
            <w:r>
              <w:rPr>
                <w:color w:val="000000"/>
              </w:rPr>
              <w:t xml:space="preserve"> Polje</w:t>
            </w:r>
          </w:p>
        </w:tc>
      </w:tr>
      <w:tr w:rsidR="006D651F" w:rsidRPr="009A0AC4" w:rsidTr="0079240C">
        <w:trPr>
          <w:trHeight w:val="547"/>
        </w:trPr>
        <w:tc>
          <w:tcPr>
            <w:tcW w:w="4859" w:type="dxa"/>
            <w:shd w:val="clear" w:color="auto" w:fill="C6D9F1"/>
            <w:vAlign w:val="center"/>
          </w:tcPr>
          <w:p w:rsidR="006D651F" w:rsidRPr="00024927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024927">
              <w:rPr>
                <w:b/>
                <w:lang w:val="bs-Latn-BA"/>
              </w:rPr>
              <w:t>2.4.2. Program unaprijeđenja kulturnih sadržaja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rPr>
                <w:lang w:val="bs-Latn-BA"/>
              </w:rPr>
            </w:pPr>
            <w:r>
              <w:rPr>
                <w:color w:val="000000"/>
              </w:rPr>
              <w:t xml:space="preserve">2.4.2.2. Digitalizacija kino-dvorane  </w:t>
            </w:r>
          </w:p>
        </w:tc>
      </w:tr>
      <w:tr w:rsidR="006D651F" w:rsidRPr="009A0AC4" w:rsidTr="0079240C">
        <w:tc>
          <w:tcPr>
            <w:tcW w:w="4859" w:type="dxa"/>
            <w:vMerge w:val="restart"/>
            <w:shd w:val="clear" w:color="auto" w:fill="C6D9F1"/>
            <w:vAlign w:val="center"/>
          </w:tcPr>
          <w:p w:rsidR="006D651F" w:rsidRPr="00024927" w:rsidRDefault="006D651F" w:rsidP="0079240C">
            <w:pPr>
              <w:pStyle w:val="Odlomakpopisa"/>
              <w:ind w:left="0"/>
              <w:contextualSpacing w:val="0"/>
              <w:rPr>
                <w:b/>
                <w:lang w:val="bs-Latn-BA"/>
              </w:rPr>
            </w:pPr>
            <w:r w:rsidRPr="00024927">
              <w:rPr>
                <w:b/>
                <w:lang w:val="bs-Latn-BA"/>
              </w:rPr>
              <w:t>2.4.3. Program unaprijeđenja efikasnosti lokalne uprave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>
              <w:rPr>
                <w:color w:val="000000"/>
              </w:rPr>
              <w:t xml:space="preserve">2.4.3.1. Uređenje </w:t>
            </w:r>
            <w:proofErr w:type="spellStart"/>
            <w:r>
              <w:rPr>
                <w:color w:val="000000"/>
              </w:rPr>
              <w:t>multifunkcionalne</w:t>
            </w:r>
            <w:proofErr w:type="spellEnd"/>
            <w:r>
              <w:rPr>
                <w:color w:val="000000"/>
              </w:rPr>
              <w:t xml:space="preserve"> sale Općinskog vijeća</w:t>
            </w:r>
          </w:p>
        </w:tc>
      </w:tr>
      <w:tr w:rsidR="006D651F" w:rsidRPr="009A0AC4" w:rsidTr="0079240C">
        <w:tc>
          <w:tcPr>
            <w:tcW w:w="4859" w:type="dxa"/>
            <w:vMerge/>
            <w:shd w:val="clear" w:color="auto" w:fill="C6D9F1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:rsidR="006D651F" w:rsidRPr="00390443" w:rsidRDefault="006D651F" w:rsidP="0079240C">
            <w:pPr>
              <w:pStyle w:val="Odlomakpopisa"/>
              <w:ind w:left="0"/>
              <w:contextualSpacing w:val="0"/>
              <w:rPr>
                <w:lang w:val="bs-Latn-BA"/>
              </w:rPr>
            </w:pPr>
            <w:r w:rsidRPr="00CB0018">
              <w:rPr>
                <w:color w:val="000000"/>
              </w:rPr>
              <w:t>2.4.3.2. Izrađena projektna dokumentacija za izgradnju zgrade općinske uprave</w:t>
            </w:r>
          </w:p>
        </w:tc>
      </w:tr>
    </w:tbl>
    <w:p w:rsidR="006D651F" w:rsidRPr="000650B8" w:rsidRDefault="006D651F" w:rsidP="006D651F">
      <w:pPr>
        <w:jc w:val="center"/>
        <w:rPr>
          <w:rFonts w:ascii="Myriad Pro" w:hAnsi="Myriad Pro" w:cs="Calibri"/>
          <w:b/>
          <w:sz w:val="20"/>
          <w:szCs w:val="20"/>
          <w:lang w:val="bs-Latn-BA"/>
        </w:rPr>
      </w:pPr>
    </w:p>
    <w:p w:rsidR="006D651F" w:rsidRPr="00390443" w:rsidRDefault="006D651F" w:rsidP="006D651F">
      <w:pPr>
        <w:jc w:val="both"/>
        <w:rPr>
          <w:lang w:val="bs-Latn-BA"/>
        </w:rPr>
      </w:pPr>
      <w:r w:rsidRPr="00390443">
        <w:rPr>
          <w:lang w:val="bs-Latn-BA"/>
        </w:rPr>
        <w:t xml:space="preserve">Ukupna očekivana ulaganja za realizaciju revidiranog sektorskog plana društvenog razvoja su: </w:t>
      </w:r>
      <w:r>
        <w:rPr>
          <w:b/>
          <w:lang w:val="bs-Latn-BA"/>
        </w:rPr>
        <w:t>7</w:t>
      </w:r>
      <w:r w:rsidRPr="00390443">
        <w:rPr>
          <w:b/>
          <w:lang w:val="bs-Latn-BA"/>
        </w:rPr>
        <w:t>.</w:t>
      </w:r>
      <w:r>
        <w:rPr>
          <w:b/>
          <w:lang w:val="bs-Latn-BA"/>
        </w:rPr>
        <w:t>162</w:t>
      </w:r>
      <w:r w:rsidRPr="00390443">
        <w:rPr>
          <w:b/>
          <w:lang w:val="bs-Latn-BA"/>
        </w:rPr>
        <w:t>.</w:t>
      </w:r>
      <w:r>
        <w:rPr>
          <w:b/>
          <w:lang w:val="bs-Latn-BA"/>
        </w:rPr>
        <w:t>5</w:t>
      </w:r>
      <w:r w:rsidRPr="00390443">
        <w:rPr>
          <w:b/>
          <w:lang w:val="bs-Latn-BA"/>
        </w:rPr>
        <w:t>00 KM</w:t>
      </w:r>
    </w:p>
    <w:p w:rsidR="006D651F" w:rsidRDefault="006D651F" w:rsidP="006D651F">
      <w:pPr>
        <w:rPr>
          <w:lang w:val="hr-HR"/>
        </w:rPr>
      </w:pPr>
    </w:p>
    <w:p w:rsidR="00211A41" w:rsidRDefault="00211A41" w:rsidP="006D651F">
      <w:pPr>
        <w:jc w:val="both"/>
      </w:pPr>
    </w:p>
    <w:sectPr w:rsidR="00211A41" w:rsidSect="002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TE1FFBE0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2B60"/>
    <w:multiLevelType w:val="hybridMultilevel"/>
    <w:tmpl w:val="58AAF7C6"/>
    <w:lvl w:ilvl="0" w:tplc="A6045F6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15D73"/>
    <w:multiLevelType w:val="hybridMultilevel"/>
    <w:tmpl w:val="82FE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1EB"/>
    <w:multiLevelType w:val="hybridMultilevel"/>
    <w:tmpl w:val="F016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973543"/>
    <w:multiLevelType w:val="hybridMultilevel"/>
    <w:tmpl w:val="31FC0CC0"/>
    <w:lvl w:ilvl="0" w:tplc="0ABC323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51F"/>
    <w:rsid w:val="00034D3A"/>
    <w:rsid w:val="000E5D63"/>
    <w:rsid w:val="00211A41"/>
    <w:rsid w:val="00651D3D"/>
    <w:rsid w:val="006D651F"/>
    <w:rsid w:val="006F7290"/>
    <w:rsid w:val="00740273"/>
    <w:rsid w:val="007B2474"/>
    <w:rsid w:val="007D086B"/>
    <w:rsid w:val="00970C3A"/>
    <w:rsid w:val="009A7FF9"/>
    <w:rsid w:val="00B07DC9"/>
    <w:rsid w:val="00C61A02"/>
    <w:rsid w:val="00EC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1F"/>
    <w:pPr>
      <w:spacing w:line="240" w:lineRule="auto"/>
      <w:jc w:val="left"/>
    </w:pPr>
    <w:rPr>
      <w:rFonts w:ascii="Calibri" w:eastAsia="Calibri" w:hAnsi="Calibri" w:cs="Times New Roman"/>
      <w:lang w:val="sr-Latn-BA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7B2474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7B247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9"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</w:style>
  <w:style w:type="paragraph" w:styleId="Odlomakpopisa">
    <w:name w:val="List Paragraph"/>
    <w:aliases w:val="List Paragraph (numbered (a)),List Paragraph Char Char Char,Use Case List Paragraph,List Paragraph2,Colorful List - Accent 11"/>
    <w:basedOn w:val="Normal"/>
    <w:link w:val="OdlomakpopisaChar"/>
    <w:uiPriority w:val="34"/>
    <w:qFormat/>
    <w:rsid w:val="007B247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B2474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character" w:customStyle="1" w:styleId="OdlomakpopisaChar">
    <w:name w:val="Odlomak popisa Char"/>
    <w:aliases w:val="List Paragraph (numbered (a)) Char,List Paragraph Char Char Char Char,Use Case List Paragraph Char,List Paragraph2 Char,Colorful List - Accent 11 Char"/>
    <w:link w:val="Odlomakpopisa"/>
    <w:uiPriority w:val="34"/>
    <w:qFormat/>
    <w:locked/>
    <w:rsid w:val="006D651F"/>
    <w:rPr>
      <w:lang w:val="hr-BA"/>
    </w:rPr>
  </w:style>
  <w:style w:type="paragraph" w:customStyle="1" w:styleId="Default">
    <w:name w:val="Default"/>
    <w:rsid w:val="006D651F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customStyle="1" w:styleId="Tabela">
    <w:name w:val="Tabela"/>
    <w:basedOn w:val="Normal"/>
    <w:link w:val="TabelaChar"/>
    <w:qFormat/>
    <w:rsid w:val="006D651F"/>
    <w:pPr>
      <w:jc w:val="both"/>
    </w:pPr>
    <w:rPr>
      <w:rFonts w:cs="Calibri"/>
      <w:i/>
      <w:lang w:val="hr-HR"/>
    </w:rPr>
  </w:style>
  <w:style w:type="character" w:customStyle="1" w:styleId="TabelaChar">
    <w:name w:val="Tabela Char"/>
    <w:link w:val="Tabela"/>
    <w:rsid w:val="006D651F"/>
    <w:rPr>
      <w:rFonts w:ascii="Calibri" w:eastAsia="Calibri" w:hAnsi="Calibri" w:cs="Calibri"/>
      <w:i/>
      <w:lang w:val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2017-12-27T08:03:00Z</dcterms:created>
  <dcterms:modified xsi:type="dcterms:W3CDTF">2017-12-27T08:03:00Z</dcterms:modified>
</cp:coreProperties>
</file>